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3"/>
        <w:tabs>
          <w:tab w:leader="none" w:pos="9781" w:val="left"/>
        </w:tabs>
        <w:ind w:hanging="283" w:left="9921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3</w:t>
      </w:r>
    </w:p>
    <w:p w14:paraId="04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Порядку предоставления с</w:t>
      </w:r>
      <w:r>
        <w:rPr>
          <w:rFonts w:ascii="Times New Roman" w:hAnsi="Times New Roman"/>
          <w:sz w:val="28"/>
        </w:rPr>
        <w:t>оциальной</w:t>
      </w:r>
    </w:p>
    <w:p w14:paraId="05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выплаты на приобретение жилого</w:t>
      </w:r>
    </w:p>
    <w:p w14:paraId="06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помещения гражданам, жилые</w:t>
      </w:r>
    </w:p>
    <w:p w14:paraId="07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помещения которых утрачены в</w:t>
      </w:r>
    </w:p>
    <w:p w14:paraId="08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результате </w:t>
      </w:r>
      <w:r>
        <w:rPr>
          <w:rFonts w:ascii="Times New Roman" w:hAnsi="Times New Roman"/>
          <w:sz w:val="28"/>
        </w:rPr>
        <w:t>чрезвычайной ситуации</w:t>
      </w:r>
    </w:p>
    <w:p w14:paraId="09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характера,</w:t>
      </w:r>
    </w:p>
    <w:p w14:paraId="0A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произошедшей на территории</w:t>
      </w:r>
    </w:p>
    <w:p w14:paraId="0B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Шепсинского сельского поселения</w:t>
      </w:r>
      <w:r>
        <w:rPr>
          <w:rFonts w:ascii="Times New Roman" w:hAnsi="Times New Roman"/>
          <w:sz w:val="28"/>
        </w:rPr>
        <w:t xml:space="preserve"> </w:t>
      </w:r>
    </w:p>
    <w:p w14:paraId="0C000000">
      <w:pPr>
        <w:widowControl w:val="0"/>
        <w:spacing w:after="0" w:line="240" w:lineRule="auto"/>
        <w:ind w:firstLine="6519" w:left="3119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Туапсинского района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20 февраля 2023 г</w:t>
      </w:r>
      <w:r>
        <w:rPr>
          <w:rFonts w:ascii="Times New Roman" w:hAnsi="Times New Roman"/>
          <w:b w:val="0"/>
          <w:sz w:val="28"/>
        </w:rPr>
        <w:t>.</w:t>
      </w:r>
    </w:p>
    <w:p w14:paraId="0D000000">
      <w:pPr>
        <w:pStyle w:val="Style_3"/>
        <w:ind w:firstLine="0" w:left="10065"/>
        <w:rPr>
          <w:rFonts w:ascii="Times New Roman" w:hAnsi="Times New Roman"/>
          <w:color w:val="FF0000"/>
          <w:sz w:val="28"/>
        </w:rPr>
      </w:pPr>
    </w:p>
    <w:p w14:paraId="0E000000">
      <w:pPr>
        <w:spacing w:after="0" w:line="240" w:lineRule="auto"/>
        <w:ind/>
        <w:jc w:val="center"/>
        <w:rPr>
          <w:rFonts w:ascii="Times New Roman" w:hAnsi="Times New Roman"/>
          <w:sz w:val="16"/>
        </w:rPr>
      </w:pPr>
    </w:p>
    <w:tbl>
      <w:tblPr>
        <w:tblStyle w:val="Style_4"/>
        <w:tblLayout w:type="fixed"/>
      </w:tblPr>
      <w:tblGrid>
        <w:gridCol w:w="14786"/>
      </w:tblGrid>
      <w:tr>
        <w:trPr>
          <w:trHeight w:hRule="atLeast" w:val="987"/>
        </w:trPr>
        <w:tc>
          <w:tcPr>
            <w:tcW w:type="dxa" w:w="14786"/>
          </w:tcPr>
          <w:p w14:paraId="0F000000">
            <w:pPr>
              <w:pStyle w:val="Style_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УТВЕРЖДАЮ</w:t>
            </w:r>
          </w:p>
          <w:p w14:paraId="10000000">
            <w:pPr>
              <w:pStyle w:val="Style_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</w:p>
          <w:p w14:paraId="11000000">
            <w:pPr>
              <w:pStyle w:val="Style_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Туапсинского муниципального округа</w:t>
            </w:r>
          </w:p>
          <w:p w14:paraId="12000000">
            <w:pPr>
              <w:pStyle w:val="Style_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___________/___________________</w:t>
            </w:r>
          </w:p>
          <w:p w14:paraId="13000000">
            <w:pPr>
              <w:pStyle w:val="Style_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МП, подпись               И.О. фамилия,</w:t>
            </w:r>
          </w:p>
          <w:p w14:paraId="14000000">
            <w:pPr>
              <w:pStyle w:val="Style_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«___»__________________ 20____ г.</w:t>
            </w:r>
          </w:p>
          <w:p w14:paraId="15000000">
            <w:pPr>
              <w:pStyle w:val="Style_3"/>
              <w:ind/>
              <w:jc w:val="both"/>
              <w:rPr>
                <w:rFonts w:ascii="Times New Roman" w:hAnsi="Times New Roman"/>
                <w:sz w:val="16"/>
              </w:rPr>
            </w:pPr>
          </w:p>
          <w:p w14:paraId="16000000">
            <w:pPr>
              <w:pStyle w:val="Style_3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СПИСОК</w:t>
            </w:r>
          </w:p>
          <w:p w14:paraId="17000000">
            <w:pPr>
              <w:pStyle w:val="Style_3"/>
              <w:ind/>
              <w:jc w:val="center"/>
              <w:rPr>
                <w:rFonts w:ascii="Times New Roman" w:hAnsi="Times New Roman"/>
                <w:b w:val="1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семей и граждан, </w:t>
            </w:r>
            <w:r>
              <w:rPr>
                <w:rFonts w:ascii="Times New Roman" w:hAnsi="Times New Roman"/>
                <w:b w:val="1"/>
                <w:color w:themeColor="text1" w:val="000000"/>
                <w:sz w:val="24"/>
              </w:rPr>
              <w:t>жилые помещения котор</w:t>
            </w:r>
            <w:r>
              <w:rPr>
                <w:rFonts w:ascii="Times New Roman" w:hAnsi="Times New Roman"/>
                <w:b w:val="1"/>
                <w:color w:themeColor="text1" w:val="000000"/>
                <w:sz w:val="24"/>
              </w:rPr>
              <w:t xml:space="preserve">ых утрачены в результате чрезвычайной ситуации </w:t>
            </w:r>
            <w:r>
              <w:rPr>
                <w:rFonts w:ascii="Times New Roman" w:hAnsi="Times New Roman"/>
                <w:b w:val="1"/>
                <w:sz w:val="24"/>
              </w:rPr>
              <w:t xml:space="preserve">муниципального характера, произошедшей на территории </w:t>
            </w:r>
            <w:r>
              <w:rPr>
                <w:rFonts w:ascii="Times New Roman" w:hAnsi="Times New Roman"/>
                <w:b w:val="1"/>
                <w:spacing w:val="-1"/>
                <w:sz w:val="24"/>
              </w:rPr>
              <w:t xml:space="preserve">Шепсинского сельского поселения </w:t>
            </w:r>
            <w:r>
              <w:rPr>
                <w:rFonts w:ascii="Times New Roman" w:hAnsi="Times New Roman"/>
                <w:b w:val="1"/>
                <w:spacing w:val="-1"/>
                <w:sz w:val="24"/>
              </w:rPr>
              <w:t xml:space="preserve">Туапсинского района </w:t>
            </w:r>
            <w:r>
              <w:rPr>
                <w:rFonts w:ascii="Times New Roman" w:hAnsi="Times New Roman"/>
                <w:b w:val="1"/>
                <w:sz w:val="24"/>
              </w:rPr>
              <w:t>20 февраля 2023 г.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sz w:val="24"/>
              </w:rPr>
              <w:t>,</w:t>
            </w:r>
            <w:r>
              <w:rPr>
                <w:rFonts w:ascii="Times New Roman" w:hAnsi="Times New Roman"/>
                <w:b w:val="1"/>
                <w:sz w:val="24"/>
              </w:rPr>
              <w:t xml:space="preserve"> </w:t>
            </w:r>
          </w:p>
          <w:p w14:paraId="18000000">
            <w:pPr>
              <w:pStyle w:val="Style_3"/>
              <w:ind/>
              <w:jc w:val="center"/>
              <w:rPr>
                <w:rFonts w:ascii="Times New Roman" w:hAnsi="Times New Roman"/>
                <w:b w:val="1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имеющих право на получение социальной выплаты </w:t>
            </w:r>
            <w:bookmarkStart w:id="1" w:name="_GoBack"/>
            <w:bookmarkEnd w:id="1"/>
            <w:r>
              <w:rPr>
                <w:rFonts w:ascii="Times New Roman" w:hAnsi="Times New Roman"/>
                <w:b w:val="1"/>
                <w:sz w:val="24"/>
              </w:rPr>
              <w:t xml:space="preserve"> на приобретение жилого помещения</w:t>
            </w:r>
          </w:p>
          <w:p w14:paraId="19000000">
            <w:pPr>
              <w:pStyle w:val="Style_3"/>
              <w:ind/>
              <w:jc w:val="center"/>
              <w:rPr>
                <w:rFonts w:ascii="Times New Roman" w:hAnsi="Times New Roman"/>
                <w:sz w:val="16"/>
              </w:rPr>
            </w:pPr>
          </w:p>
          <w:tbl>
            <w:tblPr>
              <w:tblStyle w:val="Style_4"/>
              <w:tblLayout w:type="fixed"/>
            </w:tblPr>
            <w:tblGrid>
              <w:gridCol w:w="704"/>
              <w:gridCol w:w="709"/>
              <w:gridCol w:w="1276"/>
              <w:gridCol w:w="850"/>
              <w:gridCol w:w="1134"/>
              <w:gridCol w:w="992"/>
              <w:gridCol w:w="1134"/>
              <w:gridCol w:w="851"/>
              <w:gridCol w:w="1080"/>
              <w:gridCol w:w="1046"/>
              <w:gridCol w:w="851"/>
              <w:gridCol w:w="1015"/>
              <w:gridCol w:w="827"/>
              <w:gridCol w:w="851"/>
              <w:gridCol w:w="1235"/>
            </w:tblGrid>
            <w:tr>
              <w:tc>
                <w:tcPr>
                  <w:tcW w:type="dxa" w:w="704"/>
                </w:tcPr>
                <w:p w14:paraId="1A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16"/>
                    </w:rPr>
                    <w:t>семьи п/п</w:t>
                  </w:r>
                </w:p>
              </w:tc>
              <w:tc>
                <w:tcPr>
                  <w:tcW w:type="dxa" w:w="709"/>
                </w:tcPr>
                <w:p w14:paraId="1B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№ гражданина п/п</w:t>
                  </w:r>
                </w:p>
              </w:tc>
              <w:tc>
                <w:tcPr>
                  <w:tcW w:type="dxa" w:w="1276"/>
                </w:tcPr>
                <w:p w14:paraId="1C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Фамилия, имя, отчество собственника (нанимателя) и членов семьи</w:t>
                  </w:r>
                </w:p>
              </w:tc>
              <w:tc>
                <w:tcPr>
                  <w:tcW w:type="dxa" w:w="850"/>
                </w:tcPr>
                <w:p w14:paraId="1D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Степень родства членов семьи граждан</w:t>
                  </w:r>
                </w:p>
              </w:tc>
              <w:tc>
                <w:tcPr>
                  <w:tcW w:type="dxa" w:w="1134"/>
                </w:tcPr>
                <w:p w14:paraId="1E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Адрес утраченного жилого помещения</w:t>
                  </w:r>
                </w:p>
              </w:tc>
              <w:tc>
                <w:tcPr>
                  <w:tcW w:type="dxa" w:w="992"/>
                </w:tcPr>
                <w:p w14:paraId="1F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 xml:space="preserve">Документ, </w:t>
                  </w:r>
                  <w:r>
                    <w:rPr>
                      <w:rFonts w:ascii="Times New Roman" w:hAnsi="Times New Roman"/>
                      <w:sz w:val="16"/>
                    </w:rPr>
                    <w:t>подтверж</w:t>
                  </w:r>
                </w:p>
                <w:p w14:paraId="20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дающий право собственности граждан</w:t>
                  </w:r>
                </w:p>
              </w:tc>
              <w:tc>
                <w:tcPr>
                  <w:tcW w:type="dxa" w:w="1134"/>
                </w:tcPr>
                <w:p w14:paraId="21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Адрес регистрации по месту жительства г</w:t>
                  </w:r>
                  <w:r>
                    <w:rPr>
                      <w:rFonts w:ascii="Times New Roman" w:hAnsi="Times New Roman"/>
                      <w:sz w:val="16"/>
                    </w:rPr>
                    <w:t>раждан</w:t>
                  </w:r>
                </w:p>
              </w:tc>
              <w:tc>
                <w:tcPr>
                  <w:tcW w:type="dxa" w:w="851"/>
                </w:tcPr>
                <w:p w14:paraId="22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Дата регистрации по месту жительства граждан</w:t>
                  </w:r>
                </w:p>
              </w:tc>
              <w:tc>
                <w:tcPr>
                  <w:tcW w:type="dxa" w:w="1080"/>
                </w:tcPr>
                <w:p w14:paraId="23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Общая площадь (доля общей площади) утраченного жилого помещения (</w:t>
                  </w:r>
                  <w:r>
                    <w:rPr>
                      <w:rFonts w:ascii="Times New Roman" w:hAnsi="Times New Roman"/>
                      <w:sz w:val="16"/>
                    </w:rPr>
                    <w:t>кв.м</w:t>
                  </w:r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type="dxa" w:w="1046"/>
                </w:tcPr>
                <w:p w14:paraId="24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Норма общей площади жилого помещения (</w:t>
                  </w:r>
                  <w:r>
                    <w:rPr>
                      <w:rFonts w:ascii="Times New Roman" w:hAnsi="Times New Roman"/>
                      <w:sz w:val="16"/>
                    </w:rPr>
                    <w:t>кв.м</w:t>
                  </w:r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type="dxa" w:w="851"/>
                </w:tcPr>
                <w:p w14:paraId="25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Общая площадь жилого помещения для расчета размера трансферта (</w:t>
                  </w:r>
                  <w:r>
                    <w:rPr>
                      <w:rFonts w:ascii="Times New Roman" w:hAnsi="Times New Roman"/>
                      <w:sz w:val="16"/>
                    </w:rPr>
                    <w:t>кв.м</w:t>
                  </w:r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type="dxa" w:w="1015"/>
                </w:tcPr>
                <w:p w14:paraId="26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Размер трансферта (р</w:t>
                  </w:r>
                  <w:r>
                    <w:rPr>
                      <w:rFonts w:ascii="Times New Roman" w:hAnsi="Times New Roman"/>
                      <w:sz w:val="16"/>
                    </w:rPr>
                    <w:t>ублей)</w:t>
                  </w:r>
                </w:p>
              </w:tc>
              <w:tc>
                <w:tcPr>
                  <w:tcW w:type="dxa" w:w="827"/>
                </w:tcPr>
                <w:p w14:paraId="27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 xml:space="preserve">Общая площадь жилого помещения для расчета размера выплаты </w:t>
                  </w:r>
                  <w:r>
                    <w:rPr>
                      <w:rFonts w:ascii="Times New Roman" w:hAnsi="Times New Roman"/>
                      <w:sz w:val="16"/>
                    </w:rPr>
                    <w:t>гражда</w:t>
                  </w:r>
                </w:p>
                <w:p w14:paraId="28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нину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16"/>
                    </w:rPr>
                    <w:t>кв.м</w:t>
                  </w:r>
                  <w:r>
                    <w:rPr>
                      <w:rFonts w:ascii="Times New Roman" w:hAnsi="Times New Roman"/>
                      <w:sz w:val="16"/>
                    </w:rPr>
                    <w:t>)</w:t>
                  </w:r>
                </w:p>
              </w:tc>
              <w:tc>
                <w:tcPr>
                  <w:tcW w:type="dxa" w:w="851"/>
                </w:tcPr>
                <w:p w14:paraId="29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Размер выплаты (рублей)</w:t>
                  </w:r>
                </w:p>
              </w:tc>
              <w:tc>
                <w:tcPr>
                  <w:tcW w:type="dxa" w:w="1235"/>
                </w:tcPr>
                <w:p w14:paraId="2A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Документ о наличии права собственности или доли в праве общей долевой собственности граждан на жилое помещение, пригодное для проживания</w:t>
                  </w:r>
                </w:p>
              </w:tc>
            </w:tr>
            <w:tr>
              <w:tc>
                <w:tcPr>
                  <w:tcW w:type="dxa" w:w="704"/>
                </w:tcPr>
                <w:p w14:paraId="2B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</w:t>
                  </w:r>
                </w:p>
              </w:tc>
              <w:tc>
                <w:tcPr>
                  <w:tcW w:type="dxa" w:w="709"/>
                </w:tcPr>
                <w:p w14:paraId="2C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2</w:t>
                  </w:r>
                </w:p>
              </w:tc>
              <w:tc>
                <w:tcPr>
                  <w:tcW w:type="dxa" w:w="1276"/>
                </w:tcPr>
                <w:p w14:paraId="2D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3</w:t>
                  </w:r>
                </w:p>
              </w:tc>
              <w:tc>
                <w:tcPr>
                  <w:tcW w:type="dxa" w:w="850"/>
                </w:tcPr>
                <w:p w14:paraId="2E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4</w:t>
                  </w:r>
                </w:p>
              </w:tc>
              <w:tc>
                <w:tcPr>
                  <w:tcW w:type="dxa" w:w="1134"/>
                </w:tcPr>
                <w:p w14:paraId="2F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5</w:t>
                  </w:r>
                </w:p>
              </w:tc>
              <w:tc>
                <w:tcPr>
                  <w:tcW w:type="dxa" w:w="992"/>
                </w:tcPr>
                <w:p w14:paraId="30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6</w:t>
                  </w:r>
                </w:p>
              </w:tc>
              <w:tc>
                <w:tcPr>
                  <w:tcW w:type="dxa" w:w="1134"/>
                </w:tcPr>
                <w:p w14:paraId="31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7</w:t>
                  </w:r>
                </w:p>
              </w:tc>
              <w:tc>
                <w:tcPr>
                  <w:tcW w:type="dxa" w:w="851"/>
                </w:tcPr>
                <w:p w14:paraId="32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8</w:t>
                  </w:r>
                </w:p>
              </w:tc>
              <w:tc>
                <w:tcPr>
                  <w:tcW w:type="dxa" w:w="1080"/>
                </w:tcPr>
                <w:p w14:paraId="33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9</w:t>
                  </w:r>
                </w:p>
              </w:tc>
              <w:tc>
                <w:tcPr>
                  <w:tcW w:type="dxa" w:w="1046"/>
                </w:tcPr>
                <w:p w14:paraId="34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10</w:t>
                  </w:r>
                </w:p>
              </w:tc>
              <w:tc>
                <w:tcPr>
                  <w:tcW w:type="dxa" w:w="851"/>
                </w:tcPr>
                <w:p w14:paraId="35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11</w:t>
                  </w:r>
                </w:p>
              </w:tc>
              <w:tc>
                <w:tcPr>
                  <w:tcW w:type="dxa" w:w="1015"/>
                </w:tcPr>
                <w:p w14:paraId="36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12</w:t>
                  </w:r>
                </w:p>
              </w:tc>
              <w:tc>
                <w:tcPr>
                  <w:tcW w:type="dxa" w:w="827"/>
                </w:tcPr>
                <w:p w14:paraId="37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13</w:t>
                  </w:r>
                </w:p>
              </w:tc>
              <w:tc>
                <w:tcPr>
                  <w:tcW w:type="dxa" w:w="851"/>
                </w:tcPr>
                <w:p w14:paraId="38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14</w:t>
                  </w:r>
                </w:p>
              </w:tc>
              <w:tc>
                <w:tcPr>
                  <w:tcW w:type="dxa" w:w="1235"/>
                </w:tcPr>
                <w:p w14:paraId="39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15</w:t>
                  </w:r>
                </w:p>
              </w:tc>
            </w:tr>
            <w:tr>
              <w:tc>
                <w:tcPr>
                  <w:tcW w:type="dxa" w:w="704"/>
                </w:tcPr>
                <w:p w14:paraId="3A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</w:t>
                  </w:r>
                </w:p>
              </w:tc>
              <w:tc>
                <w:tcPr>
                  <w:tcW w:type="dxa" w:w="709"/>
                </w:tcPr>
                <w:p w14:paraId="3B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2</w:t>
                  </w:r>
                </w:p>
              </w:tc>
              <w:tc>
                <w:tcPr>
                  <w:tcW w:type="dxa" w:w="1276"/>
                </w:tcPr>
                <w:p w14:paraId="3C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3</w:t>
                  </w:r>
                </w:p>
              </w:tc>
              <w:tc>
                <w:tcPr>
                  <w:tcW w:type="dxa" w:w="850"/>
                </w:tcPr>
                <w:p w14:paraId="3D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4</w:t>
                  </w:r>
                </w:p>
              </w:tc>
              <w:tc>
                <w:tcPr>
                  <w:tcW w:type="dxa" w:w="1134"/>
                </w:tcPr>
                <w:p w14:paraId="3E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5</w:t>
                  </w:r>
                </w:p>
              </w:tc>
              <w:tc>
                <w:tcPr>
                  <w:tcW w:type="dxa" w:w="992"/>
                </w:tcPr>
                <w:p w14:paraId="3F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6</w:t>
                  </w:r>
                </w:p>
              </w:tc>
              <w:tc>
                <w:tcPr>
                  <w:tcW w:type="dxa" w:w="1134"/>
                </w:tcPr>
                <w:p w14:paraId="40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7</w:t>
                  </w:r>
                </w:p>
              </w:tc>
              <w:tc>
                <w:tcPr>
                  <w:tcW w:type="dxa" w:w="851"/>
                </w:tcPr>
                <w:p w14:paraId="41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8</w:t>
                  </w:r>
                </w:p>
              </w:tc>
              <w:tc>
                <w:tcPr>
                  <w:tcW w:type="dxa" w:w="1080"/>
                </w:tcPr>
                <w:p w14:paraId="42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9</w:t>
                  </w:r>
                </w:p>
              </w:tc>
              <w:tc>
                <w:tcPr>
                  <w:tcW w:type="dxa" w:w="1046"/>
                </w:tcPr>
                <w:p w14:paraId="43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10</w:t>
                  </w:r>
                </w:p>
              </w:tc>
              <w:tc>
                <w:tcPr>
                  <w:tcW w:type="dxa" w:w="851"/>
                </w:tcPr>
                <w:p w14:paraId="44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11</w:t>
                  </w:r>
                </w:p>
              </w:tc>
              <w:tc>
                <w:tcPr>
                  <w:tcW w:type="dxa" w:w="1015"/>
                </w:tcPr>
                <w:p w14:paraId="45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12</w:t>
                  </w:r>
                </w:p>
              </w:tc>
              <w:tc>
                <w:tcPr>
                  <w:tcW w:type="dxa" w:w="827"/>
                </w:tcPr>
                <w:p w14:paraId="46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13</w:t>
                  </w:r>
                </w:p>
              </w:tc>
              <w:tc>
                <w:tcPr>
                  <w:tcW w:type="dxa" w:w="851"/>
                </w:tcPr>
                <w:p w14:paraId="47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14</w:t>
                  </w:r>
                </w:p>
              </w:tc>
              <w:tc>
                <w:tcPr>
                  <w:tcW w:type="dxa" w:w="1235"/>
                </w:tcPr>
                <w:p w14:paraId="48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  <w:r>
                    <w:rPr>
                      <w:rFonts w:ascii="Times New Roman" w:hAnsi="Times New Roman"/>
                      <w:sz w:val="16"/>
                    </w:rPr>
                    <w:t>15</w:t>
                  </w:r>
                </w:p>
              </w:tc>
            </w:tr>
            <w:tr>
              <w:tc>
                <w:tcPr>
                  <w:tcW w:type="dxa" w:w="704"/>
                </w:tcPr>
                <w:p w14:paraId="49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709"/>
                </w:tcPr>
                <w:p w14:paraId="4A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1276"/>
                </w:tcPr>
                <w:p w14:paraId="4B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850"/>
                </w:tcPr>
                <w:p w14:paraId="4C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1134"/>
                </w:tcPr>
                <w:p w14:paraId="4D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992"/>
                </w:tcPr>
                <w:p w14:paraId="4E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1134"/>
                </w:tcPr>
                <w:p w14:paraId="4F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851"/>
                </w:tcPr>
                <w:p w14:paraId="50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1080"/>
                </w:tcPr>
                <w:p w14:paraId="51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1046"/>
                </w:tcPr>
                <w:p w14:paraId="52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851"/>
                </w:tcPr>
                <w:p w14:paraId="53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1015"/>
                </w:tcPr>
                <w:p w14:paraId="54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827"/>
                </w:tcPr>
                <w:p w14:paraId="55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851"/>
                </w:tcPr>
                <w:p w14:paraId="56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  <w:tc>
                <w:tcPr>
                  <w:tcW w:type="dxa" w:w="1235"/>
                </w:tcPr>
                <w:p w14:paraId="57000000">
                  <w:pPr>
                    <w:ind/>
                    <w:jc w:val="center"/>
                    <w:rPr>
                      <w:rFonts w:ascii="Times New Roman" w:hAnsi="Times New Roman"/>
                      <w:sz w:val="16"/>
                    </w:rPr>
                  </w:pPr>
                </w:p>
              </w:tc>
            </w:tr>
          </w:tbl>
          <w:p w14:paraId="58000000">
            <w:pPr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59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A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B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5C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управления ЖКХ и ТЭК </w:t>
      </w:r>
    </w:p>
    <w:p w14:paraId="5D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 w14:paraId="5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 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Д.В. Дацишин</w:t>
      </w:r>
    </w:p>
    <w:p w14:paraId="5F000000">
      <w:pPr>
        <w:rPr>
          <w:rFonts w:ascii="Times New Roman" w:hAnsi="Times New Roman"/>
          <w:sz w:val="28"/>
        </w:rPr>
      </w:pPr>
    </w:p>
    <w:p w14:paraId="60000000">
      <w:pPr>
        <w:rPr>
          <w:rFonts w:ascii="Times New Roman" w:hAnsi="Times New Roman"/>
          <w:sz w:val="28"/>
        </w:rPr>
      </w:pPr>
    </w:p>
    <w:p w14:paraId="61000000">
      <w:pPr>
        <w:rPr>
          <w:rFonts w:ascii="Times New Roman" w:hAnsi="Times New Roman"/>
          <w:sz w:val="28"/>
        </w:rPr>
      </w:pPr>
    </w:p>
    <w:p w14:paraId="62000000">
      <w:pPr>
        <w:rPr>
          <w:rFonts w:ascii="Times New Roman" w:hAnsi="Times New Roman"/>
          <w:sz w:val="28"/>
        </w:rPr>
      </w:pPr>
    </w:p>
    <w:sectPr>
      <w:headerReference r:id="rId1" w:type="default"/>
      <w:pgSz w:h="11906" w:orient="landscape" w:w="16838"/>
      <w:pgMar w:bottom="426" w:footer="709" w:gutter="0" w:header="709" w:left="1134" w:right="1134" w:top="1276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>PAGE \* Arabic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114300" distR="114300" distT="0" layoutInCell="true" locked="false" relativeHeight="251658240" simplePos="fals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95300" cy="895350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4953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</w:pPr>
                        </w:p>
                      </w:txbxContent>
                    </wps:txbx>
                    <wps:bodyPr anchor="t" bIns="45720" lIns="91440" rIns="91440" tIns="45720" vert="vert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6" w:type="paragraph">
    <w:name w:val="toc 2"/>
    <w:next w:val="Style_2"/>
    <w:link w:val="Style_6_ch"/>
    <w:uiPriority w:val="39"/>
    <w:pPr>
      <w:ind w:firstLine="0" w:left="200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2"/>
    <w:link w:val="Style_7_ch"/>
    <w:uiPriority w:val="39"/>
    <w:pPr>
      <w:ind w:firstLine="0" w:left="600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Гиперссылка2"/>
    <w:link w:val="Style_8_ch"/>
    <w:rPr>
      <w:color w:val="0000FF"/>
      <w:u w:val="single"/>
    </w:rPr>
  </w:style>
  <w:style w:styleId="Style_8_ch" w:type="character">
    <w:name w:val="Гиперссылка2"/>
    <w:link w:val="Style_8"/>
    <w:rPr>
      <w:color w:val="0000FF"/>
      <w:u w:val="single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11" w:type="paragraph">
    <w:name w:val="toc 6"/>
    <w:next w:val="Style_2"/>
    <w:link w:val="Style_11_ch"/>
    <w:uiPriority w:val="39"/>
    <w:pPr>
      <w:ind w:firstLine="0" w:left="1000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2"/>
    <w:link w:val="Style_12_ch"/>
    <w:uiPriority w:val="39"/>
    <w:pPr>
      <w:ind w:firstLine="0" w:left="1200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Основной шрифт абзаца2"/>
    <w:link w:val="Style_13_ch"/>
  </w:style>
  <w:style w:styleId="Style_13_ch" w:type="character">
    <w:name w:val="Основной шрифт абзаца2"/>
    <w:link w:val="Style_13"/>
  </w:style>
  <w:style w:styleId="Style_14" w:type="paragraph">
    <w:name w:val="heading 3"/>
    <w:next w:val="Style_2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5" w:type="paragraph">
    <w:name w:val="ConsPlusNonformat"/>
    <w:link w:val="Style_5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5_ch" w:type="character">
    <w:name w:val="ConsPlusNonformat"/>
    <w:link w:val="Style_5"/>
    <w:rPr>
      <w:rFonts w:ascii="Courier New" w:hAnsi="Courier New"/>
      <w:sz w:val="20"/>
    </w:rPr>
  </w:style>
  <w:style w:styleId="Style_15" w:type="paragraph">
    <w:name w:val="Обычный1"/>
    <w:link w:val="Style_15_ch"/>
    <w:rPr>
      <w:rFonts w:ascii="Calibri" w:hAnsi="Calibri"/>
    </w:rPr>
  </w:style>
  <w:style w:styleId="Style_15_ch" w:type="character">
    <w:name w:val="Обычный1"/>
    <w:link w:val="Style_15"/>
    <w:rPr>
      <w:rFonts w:ascii="Calibri" w:hAnsi="Calibri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toc 3"/>
    <w:next w:val="Style_2"/>
    <w:link w:val="Style_17_ch"/>
    <w:uiPriority w:val="39"/>
    <w:pPr>
      <w:ind w:firstLine="0"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2_ch"/>
    <w:link w:val="Style_1"/>
  </w:style>
  <w:style w:styleId="Style_3" w:type="paragraph">
    <w:name w:val="ConsPlusNormal"/>
    <w:link w:val="Style_3_ch"/>
    <w:pPr>
      <w:widowControl w:val="0"/>
      <w:spacing w:after="0" w:line="240" w:lineRule="auto"/>
      <w:ind/>
    </w:pPr>
    <w:rPr>
      <w:rFonts w:ascii="Calibri" w:hAnsi="Calibri"/>
    </w:rPr>
  </w:style>
  <w:style w:styleId="Style_3_ch" w:type="character">
    <w:name w:val="ConsPlusNormal"/>
    <w:link w:val="Style_3"/>
    <w:rPr>
      <w:rFonts w:ascii="Calibri" w:hAnsi="Calibri"/>
    </w:rPr>
  </w:style>
  <w:style w:styleId="Style_18" w:type="paragraph">
    <w:name w:val="heading 5"/>
    <w:next w:val="Style_2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8_ch" w:type="character">
    <w:name w:val="heading 5"/>
    <w:link w:val="Style_18"/>
    <w:rPr>
      <w:rFonts w:ascii="XO Thames" w:hAnsi="XO Thames"/>
      <w:b w:val="1"/>
    </w:rPr>
  </w:style>
  <w:style w:styleId="Style_19" w:type="paragraph">
    <w:name w:val="heading 1"/>
    <w:next w:val="Style_2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 w:firstLine="851" w:left="0"/>
      <w:jc w:val="both"/>
    </w:pPr>
    <w:rPr>
      <w:rFonts w:ascii="XO Thames" w:hAnsi="XO Thames"/>
    </w:rPr>
  </w:style>
  <w:style w:styleId="Style_21_ch" w:type="character">
    <w:name w:val="Footnote"/>
    <w:link w:val="Style_21"/>
    <w:rPr>
      <w:rFonts w:ascii="XO Thames" w:hAnsi="XO Thames"/>
    </w:rPr>
  </w:style>
  <w:style w:styleId="Style_22" w:type="paragraph">
    <w:name w:val="toc 1"/>
    <w:next w:val="Style_2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Основной шрифт абзаца1"/>
    <w:link w:val="Style_23_ch"/>
  </w:style>
  <w:style w:styleId="Style_23_ch" w:type="character">
    <w:name w:val="Основной шрифт абзаца1"/>
    <w:link w:val="Style_23"/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0"/>
    </w:rPr>
  </w:style>
  <w:style w:styleId="Style_24_ch" w:type="character">
    <w:name w:val="Header and Footer"/>
    <w:link w:val="Style_24"/>
    <w:rPr>
      <w:rFonts w:ascii="XO Thames" w:hAnsi="XO Thames"/>
      <w:sz w:val="20"/>
    </w:rPr>
  </w:style>
  <w:style w:styleId="Style_25" w:type="paragraph">
    <w:name w:val="Обычный1"/>
    <w:link w:val="Style_25_ch"/>
    <w:rPr>
      <w:rFonts w:ascii="Calibri" w:hAnsi="Calibri"/>
    </w:rPr>
  </w:style>
  <w:style w:styleId="Style_25_ch" w:type="character">
    <w:name w:val="Обычный1"/>
    <w:link w:val="Style_25"/>
    <w:rPr>
      <w:rFonts w:ascii="Calibri" w:hAnsi="Calibri"/>
    </w:rPr>
  </w:style>
  <w:style w:styleId="Style_26" w:type="paragraph">
    <w:name w:val="toc 9"/>
    <w:next w:val="Style_2"/>
    <w:link w:val="Style_26_ch"/>
    <w:uiPriority w:val="39"/>
    <w:pPr>
      <w:ind w:firstLine="0"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2"/>
    <w:link w:val="Style_27_ch"/>
    <w:uiPriority w:val="39"/>
    <w:pPr>
      <w:ind w:firstLine="0"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footer"/>
    <w:basedOn w:val="Style_2"/>
    <w:link w:val="Style_2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8_ch" w:type="character">
    <w:name w:val="footer"/>
    <w:basedOn w:val="Style_2_ch"/>
    <w:link w:val="Style_28"/>
  </w:style>
  <w:style w:styleId="Style_29" w:type="paragraph">
    <w:name w:val="toc 5"/>
    <w:next w:val="Style_2"/>
    <w:link w:val="Style_29_ch"/>
    <w:uiPriority w:val="39"/>
    <w:pPr>
      <w:ind w:firstLine="0"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Balloon Text"/>
    <w:basedOn w:val="Style_2"/>
    <w:link w:val="Style_30_ch"/>
    <w:pPr>
      <w:spacing w:after="0" w:line="240" w:lineRule="auto"/>
      <w:ind/>
    </w:pPr>
    <w:rPr>
      <w:rFonts w:ascii="Tahoma" w:hAnsi="Tahoma"/>
      <w:sz w:val="16"/>
    </w:rPr>
  </w:style>
  <w:style w:styleId="Style_30_ch" w:type="character">
    <w:name w:val="Balloon Text"/>
    <w:basedOn w:val="Style_2_ch"/>
    <w:link w:val="Style_30"/>
    <w:rPr>
      <w:rFonts w:ascii="Tahoma" w:hAnsi="Tahoma"/>
      <w:sz w:val="16"/>
    </w:rPr>
  </w:style>
  <w:style w:styleId="Style_31" w:type="paragraph">
    <w:name w:val="Subtitle"/>
    <w:next w:val="Style_2"/>
    <w:link w:val="Style_3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itle"/>
    <w:next w:val="Style_2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2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Обычный1"/>
    <w:link w:val="Style_34_ch"/>
    <w:rPr>
      <w:rFonts w:ascii="Calibri" w:hAnsi="Calibri"/>
    </w:rPr>
  </w:style>
  <w:style w:styleId="Style_34_ch" w:type="character">
    <w:name w:val="Обычный1"/>
    <w:link w:val="Style_34"/>
    <w:rPr>
      <w:rFonts w:ascii="Calibri" w:hAnsi="Calibri"/>
    </w:rPr>
  </w:style>
  <w:style w:styleId="Style_35" w:type="paragraph">
    <w:name w:val="Гиперссылка2"/>
    <w:link w:val="Style_35_ch"/>
    <w:rPr>
      <w:color w:val="0000FF"/>
      <w:u w:val="single"/>
    </w:rPr>
  </w:style>
  <w:style w:styleId="Style_35_ch" w:type="character">
    <w:name w:val="Гиперссылка2"/>
    <w:link w:val="Style_35"/>
    <w:rPr>
      <w:color w:val="0000FF"/>
      <w:u w:val="single"/>
    </w:rPr>
  </w:style>
  <w:style w:styleId="Style_36" w:type="paragraph">
    <w:name w:val="heading 2"/>
    <w:next w:val="Style_2"/>
    <w:link w:val="Style_3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6_ch" w:type="character">
    <w:name w:val="heading 2"/>
    <w:link w:val="Style_36"/>
    <w:rPr>
      <w:rFonts w:ascii="XO Thames" w:hAnsi="XO Thames"/>
      <w:b w:val="1"/>
      <w:sz w:val="28"/>
    </w:rPr>
  </w:style>
  <w:style w:styleId="Style_4" w:type="table">
    <w:name w:val="Table Grid"/>
    <w:basedOn w:val="Style_37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2025-04-08T14:21:53Z</dcterms:modified>
</cp:coreProperties>
</file>